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F716E-AA3A-47FD-BFF4-4BAB29EAFC7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